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CE5EDF">
        <w:rPr>
          <w:sz w:val="26"/>
          <w:szCs w:val="26"/>
        </w:rPr>
        <w:t>МИНИСТЕРСТВО ОБРАЗОВАНИЯ И НАУКИ РОССИЙСКОЙ ФЕДЕРАЦИИ</w:t>
      </w: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Башантинский колледж </w:t>
      </w:r>
      <w:proofErr w:type="spellStart"/>
      <w:r>
        <w:rPr>
          <w:sz w:val="26"/>
          <w:szCs w:val="26"/>
        </w:rPr>
        <w:t>им.Ф.Г.Попова</w:t>
      </w:r>
      <w:proofErr w:type="spellEnd"/>
      <w:r>
        <w:rPr>
          <w:sz w:val="26"/>
          <w:szCs w:val="26"/>
        </w:rPr>
        <w:t xml:space="preserve"> (филиал)</w:t>
      </w: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федерального государственного бюджетного образовательного учреждения</w:t>
      </w: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высшего профессионального образования</w:t>
      </w: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«Калмыцкий государственный университет»</w:t>
      </w: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496"/>
      </w:tblGrid>
      <w:tr w:rsidR="00773F1C" w:rsidRPr="007729F3" w:rsidTr="00773F1C">
        <w:trPr>
          <w:trHeight w:val="1440"/>
        </w:trPr>
        <w:tc>
          <w:tcPr>
            <w:tcW w:w="4860" w:type="dxa"/>
          </w:tcPr>
          <w:p w:rsidR="00773F1C" w:rsidRPr="00773F1C" w:rsidRDefault="00773F1C" w:rsidP="000C0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773F1C" w:rsidRPr="00773F1C" w:rsidRDefault="00773F1C" w:rsidP="000C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73F1C" w:rsidRDefault="00773F1C" w:rsidP="000C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__________201  г. </w:t>
            </w:r>
          </w:p>
          <w:p w:rsidR="00773F1C" w:rsidRPr="00773F1C" w:rsidRDefault="00773F1C" w:rsidP="000C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</w:tc>
        <w:tc>
          <w:tcPr>
            <w:tcW w:w="4496" w:type="dxa"/>
            <w:shd w:val="clear" w:color="auto" w:fill="auto"/>
          </w:tcPr>
          <w:p w:rsidR="00773F1C" w:rsidRPr="00773F1C" w:rsidRDefault="00773F1C" w:rsidP="000C0844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773F1C" w:rsidRPr="00773F1C" w:rsidRDefault="00773F1C" w:rsidP="000C0844">
            <w:pPr>
              <w:ind w:left="17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773F1C" w:rsidRPr="00773F1C" w:rsidRDefault="00773F1C" w:rsidP="000C0844">
            <w:pPr>
              <w:ind w:left="17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773F1C" w:rsidRPr="00773F1C" w:rsidRDefault="00773F1C" w:rsidP="000C0844">
            <w:pPr>
              <w:ind w:left="17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773F1C" w:rsidRPr="00773F1C" w:rsidRDefault="00773F1C" w:rsidP="000C084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F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«____»_________201__г.</w:t>
            </w:r>
            <w:r w:rsidR="006E39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№____</w:t>
            </w:r>
          </w:p>
          <w:p w:rsidR="00773F1C" w:rsidRPr="00773F1C" w:rsidRDefault="00773F1C" w:rsidP="000C08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773F1C" w:rsidRDefault="00773F1C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773F1C" w:rsidRDefault="00773F1C" w:rsidP="00E32712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</w:p>
    <w:p w:rsidR="00E32712" w:rsidRP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E32712">
        <w:rPr>
          <w:b/>
          <w:sz w:val="32"/>
          <w:szCs w:val="32"/>
        </w:rPr>
        <w:t>ПОЛОЖЕНИЕ</w:t>
      </w:r>
    </w:p>
    <w:p w:rsidR="00E32712" w:rsidRPr="00E32712" w:rsidRDefault="00E32712" w:rsidP="00E32712">
      <w:pPr>
        <w:pStyle w:val="120"/>
        <w:keepNext/>
        <w:keepLines/>
        <w:shd w:val="clear" w:color="auto" w:fill="auto"/>
        <w:spacing w:before="0" w:after="352" w:line="240" w:lineRule="auto"/>
        <w:rPr>
          <w:sz w:val="32"/>
          <w:szCs w:val="32"/>
        </w:rPr>
      </w:pPr>
      <w:r w:rsidRPr="00E32712">
        <w:rPr>
          <w:sz w:val="32"/>
          <w:szCs w:val="32"/>
        </w:rPr>
        <w:t>о предоставлении справки-вызова установленной формы для студентов заочной формы обучения</w:t>
      </w:r>
      <w:r w:rsidR="00773F1C">
        <w:rPr>
          <w:sz w:val="32"/>
          <w:szCs w:val="32"/>
        </w:rPr>
        <w:t xml:space="preserve"> </w:t>
      </w:r>
      <w:r w:rsidRPr="00E32712">
        <w:rPr>
          <w:sz w:val="32"/>
          <w:szCs w:val="32"/>
        </w:rPr>
        <w:t xml:space="preserve">и ликвидации образовавшейся </w:t>
      </w:r>
      <w:proofErr w:type="gramStart"/>
      <w:r w:rsidRPr="00E32712">
        <w:rPr>
          <w:sz w:val="32"/>
          <w:szCs w:val="32"/>
        </w:rPr>
        <w:t>задолженности</w:t>
      </w:r>
      <w:proofErr w:type="gramEnd"/>
      <w:r w:rsidRPr="00E32712">
        <w:rPr>
          <w:sz w:val="32"/>
          <w:szCs w:val="32"/>
        </w:rPr>
        <w:t xml:space="preserve"> о</w:t>
      </w:r>
      <w:r w:rsidR="00830A37">
        <w:rPr>
          <w:sz w:val="32"/>
          <w:szCs w:val="32"/>
        </w:rPr>
        <w:t>бучающихся на заочном отделении</w:t>
      </w:r>
    </w:p>
    <w:p w:rsidR="00E32712" w:rsidRPr="00CE5EDF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E32712" w:rsidRPr="00CE5EDF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32712" w:rsidRPr="00CE5EDF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Pr="00CE5EDF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712" w:rsidRDefault="00E32712" w:rsidP="00E32712">
      <w:pPr>
        <w:pStyle w:val="2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C2486" w:rsidRDefault="00E32712" w:rsidP="00E32712">
      <w:pPr>
        <w:pStyle w:val="1"/>
        <w:shd w:val="clear" w:color="auto" w:fill="auto"/>
        <w:spacing w:after="222" w:line="270" w:lineRule="exact"/>
        <w:jc w:val="center"/>
      </w:pPr>
      <w:proofErr w:type="spellStart"/>
      <w:r w:rsidRPr="00CE5EDF">
        <w:rPr>
          <w:sz w:val="28"/>
          <w:szCs w:val="28"/>
        </w:rPr>
        <w:t>Городовиковск</w:t>
      </w:r>
      <w:proofErr w:type="spellEnd"/>
    </w:p>
    <w:p w:rsidR="00C41ADC" w:rsidRDefault="009D5548" w:rsidP="00C36CC2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2"/>
      <w:r w:rsidRPr="00C36CC2">
        <w:rPr>
          <w:sz w:val="28"/>
          <w:szCs w:val="28"/>
        </w:rPr>
        <w:lastRenderedPageBreak/>
        <w:t>1.Общее положение</w:t>
      </w:r>
      <w:bookmarkEnd w:id="0"/>
    </w:p>
    <w:p w:rsidR="008C1DE4" w:rsidRPr="00C36CC2" w:rsidRDefault="008C1DE4" w:rsidP="00C36CC2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36CC2">
        <w:rPr>
          <w:color w:val="000000" w:themeColor="text1"/>
          <w:sz w:val="28"/>
          <w:szCs w:val="28"/>
        </w:rPr>
        <w:t xml:space="preserve">Настоящее Положение о предоставлении справки-вызова </w:t>
      </w:r>
      <w:r w:rsidR="00C36CC2" w:rsidRPr="00C36CC2">
        <w:rPr>
          <w:color w:val="000000" w:themeColor="text1"/>
          <w:sz w:val="28"/>
          <w:szCs w:val="28"/>
        </w:rPr>
        <w:t xml:space="preserve"> студентам заочной формы обучения, </w:t>
      </w:r>
      <w:r w:rsidRPr="00C36CC2">
        <w:rPr>
          <w:color w:val="000000" w:themeColor="text1"/>
          <w:sz w:val="28"/>
          <w:szCs w:val="28"/>
        </w:rPr>
        <w:t xml:space="preserve">установленной формы в </w:t>
      </w:r>
      <w:r w:rsidR="000C2486" w:rsidRPr="00C36CC2">
        <w:rPr>
          <w:color w:val="000000" w:themeColor="text1"/>
          <w:sz w:val="28"/>
          <w:szCs w:val="28"/>
        </w:rPr>
        <w:t>Б</w:t>
      </w:r>
      <w:r w:rsidR="00890C61" w:rsidRPr="00C36CC2">
        <w:rPr>
          <w:color w:val="000000" w:themeColor="text1"/>
          <w:sz w:val="28"/>
          <w:szCs w:val="28"/>
        </w:rPr>
        <w:t>ашантинском</w:t>
      </w:r>
      <w:r w:rsidR="000C2486" w:rsidRPr="00C36CC2">
        <w:rPr>
          <w:color w:val="000000" w:themeColor="text1"/>
          <w:sz w:val="28"/>
          <w:szCs w:val="28"/>
        </w:rPr>
        <w:t xml:space="preserve">  колледж</w:t>
      </w:r>
      <w:r w:rsidR="00890C61" w:rsidRPr="00C36CC2">
        <w:rPr>
          <w:color w:val="000000" w:themeColor="text1"/>
          <w:sz w:val="28"/>
          <w:szCs w:val="28"/>
        </w:rPr>
        <w:t xml:space="preserve">е им. </w:t>
      </w:r>
      <w:proofErr w:type="spellStart"/>
      <w:r w:rsidR="00890C61" w:rsidRPr="00C36CC2">
        <w:rPr>
          <w:color w:val="000000" w:themeColor="text1"/>
          <w:sz w:val="28"/>
          <w:szCs w:val="28"/>
        </w:rPr>
        <w:t>Ф.Г.Попова</w:t>
      </w:r>
      <w:proofErr w:type="spellEnd"/>
      <w:r w:rsidR="000C2486" w:rsidRPr="00C36CC2">
        <w:rPr>
          <w:color w:val="000000" w:themeColor="text1"/>
          <w:sz w:val="28"/>
          <w:szCs w:val="28"/>
        </w:rPr>
        <w:t xml:space="preserve"> (филиал</w:t>
      </w:r>
      <w:r w:rsidR="00773F1C">
        <w:rPr>
          <w:color w:val="000000" w:themeColor="text1"/>
          <w:sz w:val="28"/>
          <w:szCs w:val="28"/>
        </w:rPr>
        <w:t>е</w:t>
      </w:r>
      <w:r w:rsidR="000C2486" w:rsidRPr="00C36CC2">
        <w:rPr>
          <w:color w:val="000000" w:themeColor="text1"/>
          <w:sz w:val="28"/>
          <w:szCs w:val="28"/>
        </w:rPr>
        <w:t xml:space="preserve">)  </w:t>
      </w:r>
      <w:r w:rsidR="00890C61" w:rsidRPr="00C36CC2">
        <w:rPr>
          <w:color w:val="000000" w:themeColor="text1"/>
          <w:sz w:val="28"/>
          <w:szCs w:val="28"/>
        </w:rPr>
        <w:t>ФГБОУ ВПО «</w:t>
      </w:r>
      <w:proofErr w:type="spellStart"/>
      <w:r w:rsidR="00890C61" w:rsidRPr="00C36CC2">
        <w:rPr>
          <w:color w:val="000000" w:themeColor="text1"/>
          <w:sz w:val="28"/>
          <w:szCs w:val="28"/>
        </w:rPr>
        <w:t>КалмГУ</w:t>
      </w:r>
      <w:proofErr w:type="spellEnd"/>
      <w:r w:rsidR="00890C61" w:rsidRPr="00C36CC2">
        <w:rPr>
          <w:color w:val="000000" w:themeColor="text1"/>
          <w:sz w:val="28"/>
          <w:szCs w:val="28"/>
        </w:rPr>
        <w:t>»</w:t>
      </w:r>
      <w:r w:rsidR="00C36CC2" w:rsidRPr="00C36CC2">
        <w:rPr>
          <w:color w:val="000000" w:themeColor="text1"/>
          <w:sz w:val="28"/>
          <w:szCs w:val="28"/>
        </w:rPr>
        <w:t xml:space="preserve"> (далее</w:t>
      </w:r>
      <w:r w:rsidRPr="00C36CC2">
        <w:rPr>
          <w:color w:val="000000" w:themeColor="text1"/>
          <w:sz w:val="28"/>
          <w:szCs w:val="28"/>
        </w:rPr>
        <w:t xml:space="preserve"> колледж)</w:t>
      </w:r>
      <w:r w:rsidRPr="00C36CC2">
        <w:rPr>
          <w:color w:val="FF0000"/>
          <w:sz w:val="28"/>
          <w:szCs w:val="28"/>
        </w:rPr>
        <w:t xml:space="preserve"> </w:t>
      </w:r>
      <w:r w:rsidRPr="00C36CC2">
        <w:rPr>
          <w:color w:val="000000" w:themeColor="text1"/>
          <w:sz w:val="28"/>
          <w:szCs w:val="28"/>
        </w:rPr>
        <w:t>разработано в соответствии с Федеральным законом от 29 декабря 2012 г. №273-ФЗ «Об образовании в Российской Федерации», Порядком организации и осуществления образовательной деятельности по образовательным программам средн</w:t>
      </w:r>
      <w:r w:rsidR="001F05B0" w:rsidRPr="00C36CC2">
        <w:rPr>
          <w:color w:val="000000" w:themeColor="text1"/>
          <w:sz w:val="28"/>
          <w:szCs w:val="28"/>
        </w:rPr>
        <w:t>его профессионального образован</w:t>
      </w:r>
      <w:r w:rsidRPr="00C36CC2">
        <w:rPr>
          <w:color w:val="000000" w:themeColor="text1"/>
          <w:sz w:val="28"/>
          <w:szCs w:val="28"/>
        </w:rPr>
        <w:t>ия, утвержденным приказом Министерства образования и науки Российской</w:t>
      </w:r>
      <w:proofErr w:type="gramEnd"/>
      <w:r w:rsidRPr="00C36CC2">
        <w:rPr>
          <w:color w:val="000000" w:themeColor="text1"/>
          <w:sz w:val="28"/>
          <w:szCs w:val="28"/>
        </w:rPr>
        <w:t xml:space="preserve"> Федерации от</w:t>
      </w:r>
      <w:r w:rsidRPr="00C36CC2">
        <w:rPr>
          <w:color w:val="FF0000"/>
          <w:sz w:val="28"/>
          <w:szCs w:val="28"/>
        </w:rPr>
        <w:t xml:space="preserve"> </w:t>
      </w:r>
      <w:r w:rsidR="00B565D6" w:rsidRPr="00C36CC2">
        <w:rPr>
          <w:sz w:val="28"/>
          <w:szCs w:val="28"/>
          <w:shd w:val="clear" w:color="auto" w:fill="FFFFFF"/>
        </w:rPr>
        <w:t>19.12.2013 N 1368 (ред. от 02.03.2015) "Об утверждении формы справки-вызова, дающей право на предоставление гар</w:t>
      </w:r>
      <w:r w:rsidR="00773F1C">
        <w:rPr>
          <w:sz w:val="28"/>
          <w:szCs w:val="28"/>
          <w:shd w:val="clear" w:color="auto" w:fill="FFFFFF"/>
        </w:rPr>
        <w:t>антий и компенсаций работникам</w:t>
      </w:r>
      <w:r w:rsidR="00B565D6" w:rsidRPr="00C36CC2">
        <w:rPr>
          <w:sz w:val="28"/>
          <w:szCs w:val="28"/>
          <w:shd w:val="clear" w:color="auto" w:fill="FFFFFF"/>
        </w:rPr>
        <w:t xml:space="preserve">» 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Ст</w:t>
      </w:r>
      <w:r w:rsidR="001F05B0" w:rsidRPr="00C36CC2">
        <w:rPr>
          <w:sz w:val="28"/>
          <w:szCs w:val="28"/>
        </w:rPr>
        <w:t>удентам заочной формы обучения</w:t>
      </w:r>
      <w:r w:rsidRPr="00C36CC2">
        <w:rPr>
          <w:sz w:val="28"/>
          <w:szCs w:val="28"/>
        </w:rPr>
        <w:t>, успешно выполнившим учебный план, предоставляется справка</w:t>
      </w:r>
      <w:r w:rsidR="001F05B0" w:rsidRPr="00C36CC2">
        <w:rPr>
          <w:sz w:val="28"/>
          <w:szCs w:val="28"/>
        </w:rPr>
        <w:t xml:space="preserve"> </w:t>
      </w:r>
      <w:r w:rsidRPr="00C36CC2">
        <w:rPr>
          <w:sz w:val="28"/>
          <w:szCs w:val="28"/>
        </w:rPr>
        <w:t>- вызов установленного образца и справка - подтверждение. Справка-вызов выдаётся персонально каждому успешно обучающемуся студенту не позднее, чем за 2 (две) недели до начала сессии.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Общая продолжительность экзаменационных сессий в учебном году устанавли</w:t>
      </w:r>
      <w:r w:rsidR="001F05B0" w:rsidRPr="00C36CC2">
        <w:rPr>
          <w:sz w:val="28"/>
          <w:szCs w:val="28"/>
        </w:rPr>
        <w:t xml:space="preserve">вается для заочного обучения </w:t>
      </w:r>
      <w:r w:rsidRPr="00C36CC2">
        <w:rPr>
          <w:sz w:val="28"/>
          <w:szCs w:val="28"/>
        </w:rPr>
        <w:t>- 40 (сорок) календарных дней в соответствии со статьей</w:t>
      </w:r>
      <w:r w:rsidR="001F05B0" w:rsidRPr="00C36CC2">
        <w:rPr>
          <w:sz w:val="28"/>
          <w:szCs w:val="28"/>
        </w:rPr>
        <w:t xml:space="preserve">  </w:t>
      </w:r>
      <w:r w:rsidRPr="00C36CC2">
        <w:rPr>
          <w:sz w:val="28"/>
          <w:szCs w:val="28"/>
        </w:rPr>
        <w:t xml:space="preserve">174 Трудового Кодекса Российской Федерации, </w:t>
      </w:r>
      <w:r w:rsidR="001F05B0" w:rsidRPr="00C36CC2">
        <w:rPr>
          <w:sz w:val="28"/>
          <w:szCs w:val="28"/>
        </w:rPr>
        <w:t xml:space="preserve"> </w:t>
      </w:r>
      <w:r w:rsidRPr="00C36CC2">
        <w:rPr>
          <w:sz w:val="28"/>
          <w:szCs w:val="28"/>
        </w:rPr>
        <w:t>10 (десять) календарных дней дополнительно для ликвидации задолженностей по предыдущей сессии без сохранения заработной платы по месту основной работы на усмотрение администрации работодателя.</w:t>
      </w:r>
    </w:p>
    <w:p w:rsidR="00C41ADC" w:rsidRPr="00C36CC2" w:rsidRDefault="001F05B0" w:rsidP="00C36CC2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 xml:space="preserve">Башантинский </w:t>
      </w:r>
      <w:r w:rsidR="000C2486" w:rsidRPr="00C36CC2">
        <w:rPr>
          <w:sz w:val="28"/>
          <w:szCs w:val="28"/>
        </w:rPr>
        <w:t xml:space="preserve"> колледж</w:t>
      </w:r>
      <w:r w:rsidR="009D5548" w:rsidRPr="00C36CC2">
        <w:rPr>
          <w:sz w:val="28"/>
          <w:szCs w:val="28"/>
        </w:rPr>
        <w:t xml:space="preserve"> </w:t>
      </w:r>
      <w:r w:rsidR="00890C61" w:rsidRPr="00C36CC2">
        <w:rPr>
          <w:sz w:val="28"/>
          <w:szCs w:val="28"/>
        </w:rPr>
        <w:t xml:space="preserve">им.Ф.Г. Попова </w:t>
      </w:r>
      <w:r w:rsidR="009D5548" w:rsidRPr="00C36CC2">
        <w:rPr>
          <w:sz w:val="28"/>
          <w:szCs w:val="28"/>
        </w:rPr>
        <w:t xml:space="preserve">(филиал) </w:t>
      </w:r>
      <w:r w:rsidR="00890C61" w:rsidRPr="00C36CC2">
        <w:rPr>
          <w:sz w:val="28"/>
          <w:szCs w:val="28"/>
        </w:rPr>
        <w:t xml:space="preserve">ФГБОУ ВПО </w:t>
      </w:r>
      <w:r w:rsidR="009D5548" w:rsidRPr="00C36CC2">
        <w:rPr>
          <w:sz w:val="28"/>
          <w:szCs w:val="28"/>
        </w:rPr>
        <w:t>«КалмГУ» применительно к конкретным условиям самостоятельно разрабатывает графики учебного процесса и определяет количество часов, отводимое на изучение дисциплины, исходя из специфики специальности и обучаемого контингента.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 xml:space="preserve">Лабораторно-экзаменационные сессии условно фиксируются в графике учебного процесса. </w:t>
      </w:r>
      <w:proofErr w:type="gramStart"/>
      <w:r w:rsidRPr="00C36CC2">
        <w:rPr>
          <w:sz w:val="28"/>
          <w:szCs w:val="28"/>
        </w:rPr>
        <w:t>Количество часов в учебном году на обзорные, установочные, практические занятия и лабораторные работы, проводимые в период сессий, устанавливаются не более 160 ч. При разработке учебного плана учитывается общая продолжительность лабораторно-экзаменационных сессий включая дни отдыха студентов и сдачи экзаменов, а также время обязательных учебных занятий, продолжительность которых должна составлять не более 8 (восьми) часов в день.</w:t>
      </w:r>
      <w:proofErr w:type="gramEnd"/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Студенты заочного отделения могут совмещать учёбу с работой и пользоваться при этом льготами, установленными законодательством РФ о труде и об образовании.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При подведении итогов промежуточной аттестации используются следующие термины: - текущая неуспеваемость (наличие неудовлетворительной оценки по дисциплине по результатам успеваемости за ЛЭС (лабораторно-экзаменационная сессия);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lastRenderedPageBreak/>
        <w:t>академическая неуспеваемость (наличие неудовлетворительной оценки или отсутствие зачёта по дисциплине по результатам ЛЭС);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8"/>
          <w:szCs w:val="28"/>
        </w:rPr>
      </w:pPr>
      <w:proofErr w:type="gramStart"/>
      <w:r w:rsidRPr="00C36CC2">
        <w:rPr>
          <w:sz w:val="28"/>
          <w:szCs w:val="28"/>
        </w:rPr>
        <w:t>академическая задолженность (наличие неудовлетворительной оценки по дисциплине за предыдущий учебный год.</w:t>
      </w:r>
      <w:proofErr w:type="gramEnd"/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Студенты, не сдавшие зачёты и экзамены в общеустановленные сроки по болезни или другим уважительным (неуважительным) причинам, которые документально подтверждены (не подтверждены), а так же студенты, которым разрешён индивидуальный график занятий, могут сдавать зачёты и экзамены в межсессионный период по направлениям или индивидуальному графику, устанавливаемому учебным заведением.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Студенты, заочного отделения, имеющие во время ЛЭС (лабораторно - экзаменационной сессии) академическую неуспеваемость, имеют право пересдать экзамены (зачёты) ликвидировать неуспеваемость:</w:t>
      </w:r>
    </w:p>
    <w:p w:rsidR="00C41ADC" w:rsidRPr="00C36CC2" w:rsidRDefault="009D5548" w:rsidP="00C36CC2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-- не позднее месяца после окончания осенне-зимней сессии;</w:t>
      </w:r>
    </w:p>
    <w:p w:rsidR="00C41ADC" w:rsidRPr="00C36CC2" w:rsidRDefault="009D5548" w:rsidP="00C36CC2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 xml:space="preserve">-- не позднее 1(первого) июня по результатам </w:t>
      </w:r>
      <w:r w:rsidR="00C36CC2" w:rsidRPr="00C36CC2">
        <w:rPr>
          <w:sz w:val="28"/>
          <w:szCs w:val="28"/>
        </w:rPr>
        <w:t>весенне</w:t>
      </w:r>
      <w:r w:rsidR="00890C61" w:rsidRPr="00C36CC2">
        <w:rPr>
          <w:sz w:val="28"/>
          <w:szCs w:val="28"/>
        </w:rPr>
        <w:t xml:space="preserve"> </w:t>
      </w:r>
      <w:r w:rsidRPr="00C36CC2">
        <w:rPr>
          <w:sz w:val="28"/>
          <w:szCs w:val="28"/>
        </w:rPr>
        <w:t>- летней сессии.</w:t>
      </w:r>
    </w:p>
    <w:p w:rsidR="00C41ADC" w:rsidRPr="00C36CC2" w:rsidRDefault="009D5548" w:rsidP="00C36CC2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C36CC2">
        <w:rPr>
          <w:sz w:val="28"/>
          <w:szCs w:val="28"/>
        </w:rPr>
        <w:t xml:space="preserve">Направление в этом случае выдаёт </w:t>
      </w:r>
      <w:r w:rsidRPr="00C36CC2">
        <w:rPr>
          <w:color w:val="auto"/>
          <w:sz w:val="28"/>
          <w:szCs w:val="28"/>
        </w:rPr>
        <w:t>заведующий заочным отделением.</w:t>
      </w:r>
    </w:p>
    <w:p w:rsidR="000C2486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 xml:space="preserve">Для ликвидации задолженности студент заочного отделения </w:t>
      </w:r>
      <w:r w:rsidR="001F05B0" w:rsidRPr="00C36CC2">
        <w:rPr>
          <w:sz w:val="28"/>
          <w:szCs w:val="28"/>
        </w:rPr>
        <w:t>приглашается (</w:t>
      </w:r>
      <w:r w:rsidRPr="00C36CC2">
        <w:rPr>
          <w:sz w:val="28"/>
          <w:szCs w:val="28"/>
        </w:rPr>
        <w:t xml:space="preserve">вызывается) следующими способами: </w:t>
      </w:r>
    </w:p>
    <w:p w:rsidR="00C41ADC" w:rsidRPr="00C36CC2" w:rsidRDefault="009D5548" w:rsidP="00C36CC2">
      <w:pPr>
        <w:pStyle w:val="1"/>
        <w:shd w:val="clear" w:color="auto" w:fill="auto"/>
        <w:tabs>
          <w:tab w:val="left" w:pos="591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- почтовым извещением;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справкой - вызовом (на усмотрение работодателя);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контактному номеру телефона.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Порядок ликвидации задолженностей: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составляется график пересдачи задолженностей под роспись студента;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заведующий заочным отделением выдает студенту направление (первичное) на сдачу (пересдачу) задолженности к преподавателю. Преподаватель оформляет направление и не позднее, чем через три дня передаёт на заочное отделение;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неявка студента, как и повторная пересдача дисциплины, отмечается в направлении;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для повторной пересдачи студенту выдается ещё раз то же самое направление (вторичное). Бланк направления единый для всех видов пересдач;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в случае получения неудовлетворительных оценок на двух пересдачах студенту предоставляется возможность сдачи экзамена (зачета) комиссии из трёх преподавателей цикловой</w:t>
      </w:r>
      <w:r w:rsidR="00C36CC2">
        <w:rPr>
          <w:sz w:val="28"/>
          <w:szCs w:val="28"/>
        </w:rPr>
        <w:t xml:space="preserve"> </w:t>
      </w:r>
      <w:r w:rsidR="00890C61" w:rsidRPr="00C36CC2">
        <w:rPr>
          <w:sz w:val="28"/>
          <w:szCs w:val="28"/>
        </w:rPr>
        <w:t xml:space="preserve">методической </w:t>
      </w:r>
      <w:r w:rsidRPr="00C36CC2">
        <w:rPr>
          <w:sz w:val="28"/>
          <w:szCs w:val="28"/>
        </w:rPr>
        <w:t xml:space="preserve"> комиссии;</w:t>
      </w:r>
    </w:p>
    <w:p w:rsidR="00C41ADC" w:rsidRPr="00C36CC2" w:rsidRDefault="009D5548" w:rsidP="00C36CC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студент, не являющийся за направлением или отказавшийся от пересдачи задолженностей, принимает на себя всю ответственность за возможность продолжения обучения в учебном заведении.</w:t>
      </w:r>
    </w:p>
    <w:p w:rsidR="00C41ADC" w:rsidRPr="00C36CC2" w:rsidRDefault="009D5548" w:rsidP="00C36CC2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Направление на пересдачу (ликвидацию задолженности), является документом и сдаётся на заочное отделение, где хранится наравне с экзаменационными ведомостями.</w:t>
      </w:r>
    </w:p>
    <w:p w:rsidR="00C41ADC" w:rsidRDefault="000C2486" w:rsidP="00C36CC2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jc w:val="both"/>
        <w:rPr>
          <w:sz w:val="28"/>
          <w:szCs w:val="28"/>
        </w:rPr>
      </w:pPr>
      <w:r w:rsidRPr="00C36CC2">
        <w:rPr>
          <w:sz w:val="28"/>
          <w:szCs w:val="28"/>
        </w:rPr>
        <w:t>За у</w:t>
      </w:r>
      <w:r w:rsidR="009D5548" w:rsidRPr="00C36CC2">
        <w:rPr>
          <w:sz w:val="28"/>
          <w:szCs w:val="28"/>
        </w:rPr>
        <w:t>чёт выдачи направлений, их движение, и контроль за ликвидацией задолженностей</w:t>
      </w:r>
      <w:proofErr w:type="gramStart"/>
      <w:r w:rsidR="009D5548" w:rsidRPr="00C36CC2">
        <w:rPr>
          <w:sz w:val="28"/>
          <w:szCs w:val="28"/>
        </w:rPr>
        <w:t xml:space="preserve"> </w:t>
      </w:r>
      <w:r w:rsidR="00890C61" w:rsidRPr="00C36CC2">
        <w:rPr>
          <w:sz w:val="28"/>
          <w:szCs w:val="28"/>
        </w:rPr>
        <w:t>,</w:t>
      </w:r>
      <w:proofErr w:type="gramEnd"/>
      <w:r w:rsidR="00890C61" w:rsidRPr="00C36CC2">
        <w:rPr>
          <w:sz w:val="28"/>
          <w:szCs w:val="28"/>
        </w:rPr>
        <w:t xml:space="preserve">  отвечает</w:t>
      </w:r>
      <w:r w:rsidRPr="00C36CC2">
        <w:rPr>
          <w:sz w:val="28"/>
          <w:szCs w:val="28"/>
        </w:rPr>
        <w:t xml:space="preserve">   заведующий </w:t>
      </w:r>
      <w:r w:rsidR="009D5548" w:rsidRPr="00C36CC2">
        <w:rPr>
          <w:sz w:val="28"/>
          <w:szCs w:val="28"/>
        </w:rPr>
        <w:t xml:space="preserve"> заочным отделением.</w:t>
      </w:r>
    </w:p>
    <w:p w:rsidR="008C1DE4" w:rsidRDefault="008C1DE4" w:rsidP="008C1DE4">
      <w:pPr>
        <w:pStyle w:val="1"/>
        <w:shd w:val="clear" w:color="auto" w:fill="auto"/>
        <w:tabs>
          <w:tab w:val="left" w:pos="649"/>
        </w:tabs>
        <w:spacing w:line="240" w:lineRule="auto"/>
        <w:jc w:val="center"/>
        <w:rPr>
          <w:sz w:val="28"/>
          <w:szCs w:val="28"/>
        </w:rPr>
      </w:pPr>
      <w:bookmarkStart w:id="1" w:name="_GoBack"/>
      <w:bookmarkEnd w:id="1"/>
    </w:p>
    <w:p w:rsidR="008C1DE4" w:rsidRPr="00C36CC2" w:rsidRDefault="008C1DE4" w:rsidP="008C1DE4">
      <w:pPr>
        <w:pStyle w:val="1"/>
        <w:shd w:val="clear" w:color="auto" w:fill="auto"/>
        <w:tabs>
          <w:tab w:val="left" w:pos="6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Юрисконсульт ____________</w:t>
      </w:r>
      <w:proofErr w:type="spellStart"/>
      <w:r>
        <w:rPr>
          <w:sz w:val="28"/>
          <w:szCs w:val="28"/>
        </w:rPr>
        <w:t>С.Б.Джумашева</w:t>
      </w:r>
      <w:proofErr w:type="spellEnd"/>
    </w:p>
    <w:sectPr w:rsidR="008C1DE4" w:rsidRPr="00C36CC2" w:rsidSect="008C1DE4">
      <w:footerReference w:type="default" r:id="rId8"/>
      <w:type w:val="continuous"/>
      <w:pgSz w:w="11905" w:h="16837"/>
      <w:pgMar w:top="1113" w:right="851" w:bottom="1276" w:left="16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F" w:rsidRDefault="006C7CBF" w:rsidP="00C41ADC">
      <w:r>
        <w:separator/>
      </w:r>
    </w:p>
  </w:endnote>
  <w:endnote w:type="continuationSeparator" w:id="0">
    <w:p w:rsidR="006C7CBF" w:rsidRDefault="006C7CBF" w:rsidP="00C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5300"/>
      <w:docPartObj>
        <w:docPartGallery w:val="Page Numbers (Bottom of Page)"/>
        <w:docPartUnique/>
      </w:docPartObj>
    </w:sdtPr>
    <w:sdtContent>
      <w:p w:rsidR="008C1DE4" w:rsidRDefault="008C1D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1DE4" w:rsidRDefault="008C1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F" w:rsidRDefault="006C7CBF"/>
  </w:footnote>
  <w:footnote w:type="continuationSeparator" w:id="0">
    <w:p w:rsidR="006C7CBF" w:rsidRDefault="006C7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34F"/>
    <w:multiLevelType w:val="multilevel"/>
    <w:tmpl w:val="6130E7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B3643"/>
    <w:multiLevelType w:val="multilevel"/>
    <w:tmpl w:val="BCEE9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1ADC"/>
    <w:rsid w:val="000C2486"/>
    <w:rsid w:val="001F05B0"/>
    <w:rsid w:val="001F5193"/>
    <w:rsid w:val="002625D3"/>
    <w:rsid w:val="003B2FF6"/>
    <w:rsid w:val="0050749D"/>
    <w:rsid w:val="00604B8B"/>
    <w:rsid w:val="006C7CBF"/>
    <w:rsid w:val="006D5DFC"/>
    <w:rsid w:val="006E390D"/>
    <w:rsid w:val="00773F1C"/>
    <w:rsid w:val="00830A37"/>
    <w:rsid w:val="00890C61"/>
    <w:rsid w:val="008C1DE4"/>
    <w:rsid w:val="009D5548"/>
    <w:rsid w:val="00AC7E65"/>
    <w:rsid w:val="00B565D6"/>
    <w:rsid w:val="00C36CC2"/>
    <w:rsid w:val="00C41ADC"/>
    <w:rsid w:val="00D501DA"/>
    <w:rsid w:val="00D91E02"/>
    <w:rsid w:val="00DD5850"/>
    <w:rsid w:val="00E204B0"/>
    <w:rsid w:val="00E32712"/>
    <w:rsid w:val="00E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ADC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C4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sid w:val="00C4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"/>
    <w:rsid w:val="00C4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C4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C41ADC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7"/>
    <w:rsid w:val="00C41ADC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C41AD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 (2)_"/>
    <w:basedOn w:val="a0"/>
    <w:link w:val="220"/>
    <w:rsid w:val="00E327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E32712"/>
    <w:pPr>
      <w:shd w:val="clear" w:color="auto" w:fill="FFFFFF"/>
      <w:spacing w:before="84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C1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1DE4"/>
    <w:rPr>
      <w:color w:val="000000"/>
    </w:rPr>
  </w:style>
  <w:style w:type="paragraph" w:styleId="aa">
    <w:name w:val="footer"/>
    <w:basedOn w:val="a"/>
    <w:link w:val="ab"/>
    <w:uiPriority w:val="99"/>
    <w:unhideWhenUsed/>
    <w:rsid w:val="008C1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D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1D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D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 среднего специального учебного заведения</vt:lpstr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 среднего специального учебного заведения</dc:title>
  <dc:subject/>
  <dc:creator>Customer</dc:creator>
  <cp:keywords/>
  <cp:lastModifiedBy>Admin</cp:lastModifiedBy>
  <cp:revision>14</cp:revision>
  <cp:lastPrinted>2015-05-28T11:20:00Z</cp:lastPrinted>
  <dcterms:created xsi:type="dcterms:W3CDTF">2015-05-06T05:11:00Z</dcterms:created>
  <dcterms:modified xsi:type="dcterms:W3CDTF">2015-05-28T11:20:00Z</dcterms:modified>
</cp:coreProperties>
</file>